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0613" w14:textId="77777777" w:rsidR="002F74B3" w:rsidRDefault="002F74B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Staré Sedlo</w:t>
      </w:r>
    </w:p>
    <w:p w14:paraId="03173219" w14:textId="52E603B4" w:rsidR="008D6906" w:rsidRPr="002E0EAD" w:rsidRDefault="002F74B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D6906" w:rsidRPr="002E0EAD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Staré Sedlo</w:t>
      </w:r>
    </w:p>
    <w:p w14:paraId="2BE9A16E" w14:textId="5A7E74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74B3">
        <w:rPr>
          <w:rFonts w:ascii="Arial" w:hAnsi="Arial" w:cs="Arial"/>
          <w:b/>
        </w:rPr>
        <w:t>Staré Sedlo</w:t>
      </w:r>
      <w:r w:rsidRPr="002E0EAD">
        <w:rPr>
          <w:rFonts w:ascii="Arial" w:hAnsi="Arial" w:cs="Arial"/>
          <w:b/>
        </w:rPr>
        <w:t xml:space="preserve"> č. </w:t>
      </w:r>
      <w:r w:rsidR="00BF1633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2F74B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CE2C338" w14:textId="3D082180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BFA0D6E" w14:textId="024E13AC" w:rsidR="00A4134F" w:rsidRPr="002E0EAD" w:rsidRDefault="00A4134F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(dle kapacity soustřeďovacích prostředků)</w:t>
      </w:r>
    </w:p>
    <w:p w14:paraId="6268060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BCD7DF" w14:textId="133BE6F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74B3">
        <w:rPr>
          <w:rFonts w:ascii="Arial" w:hAnsi="Arial" w:cs="Arial"/>
          <w:b w:val="0"/>
          <w:sz w:val="22"/>
          <w:szCs w:val="22"/>
        </w:rPr>
        <w:t>Staré Sedlo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F1633">
        <w:rPr>
          <w:rFonts w:ascii="Arial" w:hAnsi="Arial" w:cs="Arial"/>
          <w:b w:val="0"/>
          <w:sz w:val="22"/>
          <w:szCs w:val="22"/>
        </w:rPr>
        <w:t xml:space="preserve">dne </w:t>
      </w:r>
      <w:r w:rsidR="00BF1633" w:rsidRPr="00BF1633">
        <w:rPr>
          <w:rFonts w:ascii="Arial" w:hAnsi="Arial" w:cs="Arial"/>
          <w:b w:val="0"/>
          <w:sz w:val="22"/>
          <w:szCs w:val="22"/>
        </w:rPr>
        <w:t>09.12.2021</w:t>
      </w:r>
      <w:r w:rsidRPr="00EB67C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777F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777FA" w:rsidRPr="00B777FA">
        <w:rPr>
          <w:rFonts w:ascii="Arial" w:hAnsi="Arial" w:cs="Arial"/>
          <w:b w:val="0"/>
          <w:sz w:val="22"/>
          <w:szCs w:val="22"/>
        </w:rPr>
        <w:t>18</w:t>
      </w:r>
      <w:r w:rsidRPr="00EB67C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B253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4814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499288" w14:textId="716B4D4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B67C9">
        <w:rPr>
          <w:rFonts w:ascii="Arial" w:hAnsi="Arial" w:cs="Arial"/>
          <w:sz w:val="22"/>
          <w:szCs w:val="22"/>
        </w:rPr>
        <w:t>Staré Sedlo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874A6B" w14:textId="583158C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B67C9">
        <w:rPr>
          <w:rFonts w:ascii="Arial" w:hAnsi="Arial" w:cs="Arial"/>
          <w:sz w:val="22"/>
          <w:szCs w:val="22"/>
        </w:rPr>
        <w:t>obce Staré Sedlo.</w:t>
      </w:r>
    </w:p>
    <w:p w14:paraId="303EAA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F24F8C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8696BD2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5A3CA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D63CD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CE80FE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DB6823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1DAEFA8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CCF13B8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F34568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65E86D54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B72C2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E247DB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F8019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61E0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EECEA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1E1B6EA" w14:textId="2E6A271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F74B3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2F74B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006DD1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625C410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38621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1717EA" w14:textId="33C51486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F8221B">
        <w:rPr>
          <w:rFonts w:ascii="Arial" w:hAnsi="Arial" w:cs="Arial"/>
          <w:sz w:val="22"/>
          <w:szCs w:val="22"/>
        </w:rPr>
        <w:t>.</w:t>
      </w:r>
    </w:p>
    <w:p w14:paraId="6EFD61D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A07737" w14:textId="31430F4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0A2C4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52966F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46201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EF1E17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2063FE7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26839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B92CF3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A24FE0D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77A26B8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2C3CC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02499A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7266838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778DEB2" w14:textId="6D06F496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B67C9">
        <w:rPr>
          <w:rFonts w:ascii="Arial" w:hAnsi="Arial" w:cs="Arial"/>
          <w:sz w:val="22"/>
          <w:szCs w:val="22"/>
        </w:rPr>
        <w:t>0,32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B02F7A8" w14:textId="5C15336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EB67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14217">
        <w:rPr>
          <w:rFonts w:ascii="Arial" w:hAnsi="Arial" w:cs="Arial"/>
        </w:rPr>
        <w:t>7</w:t>
      </w:r>
    </w:p>
    <w:p w14:paraId="6BE3E8A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216256C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4A78B4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A96CFC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6ACD1FD" w14:textId="50583F90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zaokrouhleného na celé litry sazby pro tento základ. </w:t>
      </w:r>
    </w:p>
    <w:p w14:paraId="6F00BD8F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A75115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825CF0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D8321E4" w14:textId="4DC1BA9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EB67C9">
        <w:rPr>
          <w:rFonts w:ascii="Arial" w:hAnsi="Arial" w:cs="Arial"/>
          <w:sz w:val="22"/>
          <w:szCs w:val="22"/>
        </w:rPr>
        <w:t xml:space="preserve">31.03.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AB8216F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4E79808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C05CA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5AF1BC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9CA7CF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828BC03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DC1A657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9173D2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B911FEA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82105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B9227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6BC85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BF138F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022947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A6C9C3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9A3E5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856DEA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C36E88" w14:textId="576F97C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67C9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97417B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3194B0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9B2B13B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4612BA" w14:textId="146AD3E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64968C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464448" w14:textId="41A2620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B7528">
        <w:rPr>
          <w:rFonts w:ascii="Arial" w:hAnsi="Arial" w:cs="Arial"/>
          <w:sz w:val="22"/>
          <w:szCs w:val="22"/>
        </w:rPr>
        <w:t>Josef Kratochvíl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B7528">
        <w:rPr>
          <w:rFonts w:ascii="Arial" w:hAnsi="Arial" w:cs="Arial"/>
          <w:sz w:val="22"/>
          <w:szCs w:val="22"/>
        </w:rPr>
        <w:t>Miroslav Toncar</w:t>
      </w:r>
    </w:p>
    <w:p w14:paraId="27B666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B90E9D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62E387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BF7A92" w14:textId="446BED8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B777F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777FA">
        <w:rPr>
          <w:rFonts w:ascii="Arial" w:hAnsi="Arial" w:cs="Arial"/>
          <w:sz w:val="22"/>
          <w:szCs w:val="22"/>
        </w:rPr>
        <w:t xml:space="preserve">       15.12.2021</w:t>
      </w:r>
      <w:r w:rsidR="00B777FA">
        <w:rPr>
          <w:rFonts w:ascii="Arial" w:hAnsi="Arial" w:cs="Arial"/>
          <w:sz w:val="22"/>
          <w:szCs w:val="22"/>
        </w:rPr>
        <w:tab/>
      </w:r>
    </w:p>
    <w:p w14:paraId="4ECE2CA6" w14:textId="77E058BB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9BC5366" w14:textId="77777777" w:rsidR="00736323" w:rsidRDefault="00736323" w:rsidP="00736323">
      <w:pPr>
        <w:autoSpaceDE w:val="0"/>
        <w:autoSpaceDN w:val="0"/>
        <w:adjustRightInd w:val="0"/>
      </w:pPr>
    </w:p>
    <w:p w14:paraId="2F83BD78" w14:textId="2D31C76C" w:rsidR="00736323" w:rsidRDefault="00736323" w:rsidP="00736323">
      <w:pPr>
        <w:autoSpaceDE w:val="0"/>
        <w:autoSpaceDN w:val="0"/>
        <w:adjustRightInd w:val="0"/>
      </w:pPr>
      <w:r>
        <w:t>Zveřejnění obecně závazné vyhlášky bylo shodně provedeno způsobem umožňujícím dálkový přístup.</w:t>
      </w:r>
    </w:p>
    <w:p w14:paraId="74B8F2F8" w14:textId="77777777" w:rsidR="00736323" w:rsidRPr="00EB7FA0" w:rsidRDefault="0073632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36323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7147" w14:textId="77777777" w:rsidR="001021A7" w:rsidRDefault="001021A7">
      <w:r>
        <w:separator/>
      </w:r>
    </w:p>
  </w:endnote>
  <w:endnote w:type="continuationSeparator" w:id="0">
    <w:p w14:paraId="594E195C" w14:textId="77777777" w:rsidR="001021A7" w:rsidRDefault="0010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719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221B">
      <w:rPr>
        <w:noProof/>
      </w:rPr>
      <w:t>2</w:t>
    </w:r>
    <w:r>
      <w:fldChar w:fldCharType="end"/>
    </w:r>
  </w:p>
  <w:p w14:paraId="0156FB3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B417" w14:textId="77777777" w:rsidR="001021A7" w:rsidRDefault="001021A7">
      <w:r>
        <w:separator/>
      </w:r>
    </w:p>
  </w:footnote>
  <w:footnote w:type="continuationSeparator" w:id="0">
    <w:p w14:paraId="0C4D886E" w14:textId="77777777" w:rsidR="001021A7" w:rsidRDefault="001021A7">
      <w:r>
        <w:continuationSeparator/>
      </w:r>
    </w:p>
  </w:footnote>
  <w:footnote w:id="1">
    <w:p w14:paraId="6552714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6D1A51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B812F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7BC67D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E99D3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A40501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004C925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1496D83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79F284A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7D924B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106174B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05C859B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7226A04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4EDF21E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125570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7089019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30EA0F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4337D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21A7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1EC9"/>
    <w:rsid w:val="00173886"/>
    <w:rsid w:val="00190222"/>
    <w:rsid w:val="00191186"/>
    <w:rsid w:val="001A0C3C"/>
    <w:rsid w:val="001A5525"/>
    <w:rsid w:val="001B36E4"/>
    <w:rsid w:val="001B6CD8"/>
    <w:rsid w:val="001B752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381C"/>
    <w:rsid w:val="002757DE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74B3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5B04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6323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7459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364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34F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5F7"/>
    <w:rsid w:val="00B313BE"/>
    <w:rsid w:val="00B36221"/>
    <w:rsid w:val="00B369A7"/>
    <w:rsid w:val="00B464A7"/>
    <w:rsid w:val="00B47464"/>
    <w:rsid w:val="00B63BFF"/>
    <w:rsid w:val="00B71306"/>
    <w:rsid w:val="00B75719"/>
    <w:rsid w:val="00B777FA"/>
    <w:rsid w:val="00B806F8"/>
    <w:rsid w:val="00B82D08"/>
    <w:rsid w:val="00B86441"/>
    <w:rsid w:val="00BA1E8D"/>
    <w:rsid w:val="00BA1EDF"/>
    <w:rsid w:val="00BB3316"/>
    <w:rsid w:val="00BC17DA"/>
    <w:rsid w:val="00BC3CDA"/>
    <w:rsid w:val="00BD2805"/>
    <w:rsid w:val="00BF1633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7C9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8221B"/>
    <w:rsid w:val="00F91DE1"/>
    <w:rsid w:val="00FB319D"/>
    <w:rsid w:val="00FB336E"/>
    <w:rsid w:val="00FD12E2"/>
    <w:rsid w:val="00FD58CC"/>
    <w:rsid w:val="00FE34F1"/>
    <w:rsid w:val="00FF0C2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131EF"/>
  <w15:docId w15:val="{66492AD6-7DB0-4A14-83FE-2EEF63D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525C-7E9B-4CB9-B3F0-36BD686D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3</cp:revision>
  <cp:lastPrinted>2021-12-15T10:41:00Z</cp:lastPrinted>
  <dcterms:created xsi:type="dcterms:W3CDTF">2021-12-03T12:14:00Z</dcterms:created>
  <dcterms:modified xsi:type="dcterms:W3CDTF">2021-12-15T10:43:00Z</dcterms:modified>
</cp:coreProperties>
</file>