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4035C" w14:textId="77777777" w:rsidR="00A51801" w:rsidRDefault="00A51801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001C0DB" w14:textId="77777777" w:rsidR="00A51801" w:rsidRDefault="00A51801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E5062A1" w14:textId="77777777" w:rsidR="00A51801" w:rsidRDefault="00000000">
      <w:pPr>
        <w:spacing w:line="276" w:lineRule="auto"/>
        <w:jc w:val="center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Ochrana životního prostředí je pro naši společnost prioritou</w:t>
      </w:r>
    </w:p>
    <w:p w14:paraId="1CE4A8DC" w14:textId="77777777" w:rsidR="00A51801" w:rsidRDefault="00A51801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B2EC8D5" w14:textId="54E1F931" w:rsidR="00A51801" w:rsidRDefault="00000000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Elektrospotřebiče jsou běžnou součástí našeho každodenního života a jen těžko si jej bez nich dokážeme představit. Elektroodpad je tak v současné době jedním z nejrychleji rostoucích druhů </w:t>
      </w:r>
      <w:r w:rsidRPr="008620EB">
        <w:rPr>
          <w:rFonts w:asciiTheme="minorHAnsi" w:hAnsiTheme="minorHAnsi" w:cstheme="minorHAnsi"/>
          <w:b/>
          <w:bCs/>
          <w:sz w:val="22"/>
          <w:szCs w:val="22"/>
        </w:rPr>
        <w:t xml:space="preserve">odpadu. Pro zajištění sběru a recyklace již vysloužilých elektrozařízení si naše </w:t>
      </w:r>
      <w:bookmarkStart w:id="0" w:name="_Hlk96506340"/>
      <w:r w:rsidRPr="008620EB">
        <w:rPr>
          <w:rFonts w:asciiTheme="minorHAnsi" w:hAnsiTheme="minorHAnsi" w:cstheme="minorHAnsi"/>
          <w:b/>
          <w:bCs/>
          <w:sz w:val="22"/>
          <w:szCs w:val="22"/>
        </w:rPr>
        <w:t>obec</w:t>
      </w:r>
      <w:r w:rsidR="008620EB" w:rsidRPr="008620EB">
        <w:rPr>
          <w:rFonts w:asciiTheme="minorHAnsi" w:hAnsiTheme="minorHAnsi" w:cstheme="minorHAnsi"/>
          <w:b/>
          <w:bCs/>
          <w:sz w:val="22"/>
          <w:szCs w:val="22"/>
        </w:rPr>
        <w:t xml:space="preserve"> Staré Sedlo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r>
        <w:rPr>
          <w:rFonts w:asciiTheme="minorHAnsi" w:hAnsiTheme="minorHAnsi" w:cstheme="minorHAnsi"/>
          <w:b/>
          <w:bCs/>
          <w:sz w:val="22"/>
          <w:szCs w:val="22"/>
        </w:rPr>
        <w:t>vybrala ke spolupráci kolektivní systém ASEKOL. Elektroodpad obsahuje řadu zdraví škodlivých materiálů a díky zajištění ekologické recyklace vysloužilých elektrozařízení přispíváme k ochraně životního prostředí. Recyklace navíc umožňuje opětovné materiálové využití a patří mezi základní principy cirkulární ekonomky. Míra opětovného materiálového využití je velmi vysoká a dle jednotlivých typů výrobků dosahuje až 95 %.</w:t>
      </w:r>
    </w:p>
    <w:p w14:paraId="1CDB3CBE" w14:textId="77777777" w:rsidR="00A51801" w:rsidRDefault="00A51801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1B602B1" w14:textId="4CB06665" w:rsidR="00A51801" w:rsidRDefault="00000000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Jakým rozsahem naše </w:t>
      </w:r>
      <w:r w:rsidRPr="008620EB">
        <w:rPr>
          <w:rFonts w:asciiTheme="minorHAnsi" w:hAnsiTheme="minorHAnsi" w:cstheme="minorHAnsi"/>
          <w:b/>
          <w:bCs/>
          <w:sz w:val="22"/>
          <w:szCs w:val="22"/>
        </w:rPr>
        <w:t>obec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konkrétně přispěla k úsporám na životním prostředí, se dozvídáme z environmentálního vyúčtování zpracovaného společností ASEKOL. Díky zodpovědné recyklaci vznikají úspory vyčíslené např. na spotřebu elektrické energie, primární suroviny, vodu, okyselování prostředí a produkci skleníkových plynů.</w:t>
      </w:r>
    </w:p>
    <w:p w14:paraId="5E920695" w14:textId="77777777" w:rsidR="00A51801" w:rsidRDefault="00A518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3136A82" w14:textId="77777777" w:rsidR="00A51801" w:rsidRDefault="00A518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AE9B1AD" w14:textId="5EC8FDEE" w:rsidR="00A51801" w:rsidRDefault="000000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Certifikát environmentálního vyúčtování vyčísluje přínos naší </w:t>
      </w:r>
      <w:r w:rsidRPr="008620EB">
        <w:rPr>
          <w:rFonts w:asciiTheme="minorHAnsi" w:hAnsiTheme="minorHAnsi" w:cstheme="minorHAnsi"/>
          <w:sz w:val="22"/>
          <w:szCs w:val="22"/>
        </w:rPr>
        <w:t>obce</w:t>
      </w:r>
      <w:r>
        <w:rPr>
          <w:rFonts w:asciiTheme="minorHAnsi" w:hAnsiTheme="minorHAnsi" w:cstheme="minorHAnsi"/>
          <w:sz w:val="22"/>
          <w:szCs w:val="22"/>
        </w:rPr>
        <w:t xml:space="preserve"> k ochraně přírody v roce 2024. Vyplývá z něj, že díky množství námi odevzdaných elektrozařízení jsme uspořili </w:t>
      </w:r>
      <w:r w:rsidR="008620EB">
        <w:rPr>
          <w:rFonts w:asciiTheme="minorHAnsi" w:hAnsiTheme="minorHAnsi" w:cstheme="minorHAnsi"/>
          <w:sz w:val="22"/>
          <w:szCs w:val="22"/>
        </w:rPr>
        <w:t xml:space="preserve">1,10 </w:t>
      </w:r>
      <w:proofErr w:type="spellStart"/>
      <w:r>
        <w:rPr>
          <w:rFonts w:asciiTheme="minorHAnsi" w:hAnsiTheme="minorHAnsi" w:cstheme="minorHAnsi"/>
          <w:sz w:val="22"/>
          <w:szCs w:val="22"/>
        </w:rPr>
        <w:t>MWh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elektřiny, </w:t>
      </w:r>
      <w:r w:rsidR="008620EB">
        <w:rPr>
          <w:rFonts w:asciiTheme="minorHAnsi" w:hAnsiTheme="minorHAnsi" w:cstheme="minorHAnsi"/>
          <w:i/>
          <w:iCs/>
          <w:sz w:val="22"/>
          <w:szCs w:val="22"/>
        </w:rPr>
        <w:t>79,</w:t>
      </w:r>
      <w:proofErr w:type="gramStart"/>
      <w:r w:rsidR="008620EB">
        <w:rPr>
          <w:rFonts w:asciiTheme="minorHAnsi" w:hAnsiTheme="minorHAnsi" w:cstheme="minorHAnsi"/>
          <w:i/>
          <w:iCs/>
          <w:sz w:val="22"/>
          <w:szCs w:val="22"/>
        </w:rPr>
        <w:t xml:space="preserve">47 </w:t>
      </w:r>
      <w:r>
        <w:rPr>
          <w:rFonts w:asciiTheme="minorHAnsi" w:hAnsiTheme="minorHAnsi" w:cstheme="minorHAnsi"/>
          <w:sz w:val="22"/>
          <w:szCs w:val="22"/>
        </w:rPr>
        <w:t xml:space="preserve"> litrů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ropy, </w:t>
      </w:r>
      <w:r w:rsidR="008620EB">
        <w:rPr>
          <w:rFonts w:asciiTheme="minorHAnsi" w:hAnsiTheme="minorHAnsi" w:cstheme="minorHAnsi"/>
          <w:i/>
          <w:iCs/>
          <w:sz w:val="22"/>
          <w:szCs w:val="22"/>
        </w:rPr>
        <w:t>42,61</w:t>
      </w:r>
      <w:r>
        <w:rPr>
          <w:rFonts w:asciiTheme="minorHAnsi" w:hAnsiTheme="minorHAnsi" w:cstheme="minorHAnsi"/>
          <w:sz w:val="22"/>
          <w:szCs w:val="22"/>
        </w:rPr>
        <w:t xml:space="preserve"> m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vody a </w:t>
      </w:r>
      <w:r w:rsidR="008620EB">
        <w:rPr>
          <w:rFonts w:asciiTheme="minorHAnsi" w:hAnsiTheme="minorHAnsi" w:cstheme="minorHAnsi"/>
          <w:i/>
          <w:iCs/>
          <w:sz w:val="22"/>
          <w:szCs w:val="22"/>
        </w:rPr>
        <w:t>0,25</w:t>
      </w:r>
      <w:r>
        <w:rPr>
          <w:rFonts w:asciiTheme="minorHAnsi" w:hAnsiTheme="minorHAnsi" w:cstheme="minorHAnsi"/>
          <w:sz w:val="22"/>
          <w:szCs w:val="22"/>
        </w:rPr>
        <w:t xml:space="preserve"> tun primárních surovin. Navíc jsme snížili emise skleníkových plynů CO</w:t>
      </w:r>
      <w:r>
        <w:rPr>
          <w:rFonts w:asciiTheme="minorHAnsi" w:hAnsiTheme="minorHAnsi" w:cstheme="minorHAnsi"/>
          <w:sz w:val="22"/>
          <w:szCs w:val="22"/>
          <w:vertAlign w:val="subscript"/>
        </w:rPr>
        <w:t>2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ekv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o </w:t>
      </w:r>
      <w:r w:rsidR="008620EB">
        <w:rPr>
          <w:rFonts w:asciiTheme="minorHAnsi" w:hAnsiTheme="minorHAnsi" w:cstheme="minorHAnsi"/>
          <w:i/>
          <w:iCs/>
          <w:sz w:val="22"/>
          <w:szCs w:val="22"/>
        </w:rPr>
        <w:t>0,35</w:t>
      </w:r>
      <w:r>
        <w:rPr>
          <w:rFonts w:asciiTheme="minorHAnsi" w:hAnsiTheme="minorHAnsi" w:cstheme="minorHAnsi"/>
          <w:sz w:val="22"/>
          <w:szCs w:val="22"/>
        </w:rPr>
        <w:t xml:space="preserve"> tun, a produkci SO2 </w:t>
      </w:r>
      <w:proofErr w:type="spellStart"/>
      <w:r>
        <w:rPr>
          <w:rFonts w:asciiTheme="minorHAnsi" w:hAnsiTheme="minorHAnsi" w:cstheme="minorHAnsi"/>
          <w:sz w:val="22"/>
          <w:szCs w:val="22"/>
        </w:rPr>
        <w:t>ekv</w:t>
      </w:r>
      <w:proofErr w:type="spellEnd"/>
      <w:r>
        <w:rPr>
          <w:rFonts w:asciiTheme="minorHAnsi" w:hAnsiTheme="minorHAnsi" w:cstheme="minorHAnsi"/>
          <w:sz w:val="22"/>
          <w:szCs w:val="22"/>
        </w:rPr>
        <w:t>. (který zapříčiňuje okyselování prostředí)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o </w:t>
      </w:r>
      <w:r w:rsidR="008620EB">
        <w:rPr>
          <w:rFonts w:asciiTheme="minorHAnsi" w:hAnsiTheme="minorHAnsi" w:cstheme="minorHAnsi"/>
          <w:i/>
          <w:iCs/>
          <w:sz w:val="22"/>
          <w:szCs w:val="22"/>
        </w:rPr>
        <w:t>4,28</w:t>
      </w:r>
      <w:r>
        <w:rPr>
          <w:rFonts w:asciiTheme="minorHAnsi" w:hAnsiTheme="minorHAnsi" w:cstheme="minorHAnsi"/>
          <w:sz w:val="22"/>
          <w:szCs w:val="22"/>
        </w:rPr>
        <w:t xml:space="preserve"> kg.</w:t>
      </w:r>
    </w:p>
    <w:p w14:paraId="32521962" w14:textId="77777777" w:rsidR="00A51801" w:rsidRDefault="00A518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2A48EC9" w14:textId="77777777" w:rsidR="00A51801" w:rsidRDefault="000000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Každý kus vytříděného elektra se počítá, což dokazuje příklad 100 vytříděných notebooků, které uspoří 10 </w:t>
      </w:r>
      <w:proofErr w:type="spellStart"/>
      <w:r>
        <w:rPr>
          <w:rFonts w:asciiTheme="minorHAnsi" w:hAnsiTheme="minorHAnsi" w:cstheme="minorHAnsi"/>
          <w:sz w:val="22"/>
          <w:szCs w:val="22"/>
        </w:rPr>
        <w:t>MWh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elektřiny. Takové množství odpovídá 3leté spotřebě elektřiny rodiny žijící ve standardním bytu. Za 100 kg vytříděných elektrospotřebičů se ušetří takové množství ropy, které by stačilo na výrobu benzínu pro cestu z Prahy do Paříže. Děkujeme všem, kteří pečlivě třídí odpad a přispívají tak k ochraně životního prostředí a trvalé udržitelnosti.</w:t>
      </w:r>
    </w:p>
    <w:p w14:paraId="4E0661C0" w14:textId="77777777" w:rsidR="00A51801" w:rsidRDefault="00A518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E0ED72" w14:textId="77777777" w:rsidR="00A51801" w:rsidRDefault="000000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Environmentální vyúčtování je vypočítáváno pomocí studie životního cyklu výrobku (tzv. LCA –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</w:rPr>
        <w:t>Life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</w:rPr>
        <w:t>Cycle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</w:rPr>
        <w:t>Assessment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</w:rPr>
        <w:t>), která vypovídá o dopadech výroby a recyklace jednotlivých elektrozařízení na životní prostředí. Studie zohledňuje všech 6 skupin elektrospotřebičů, jejichž zpětný odběr kolektivní systém ASEKOL zajišťuje.</w:t>
      </w:r>
    </w:p>
    <w:p w14:paraId="0102216F" w14:textId="77777777" w:rsidR="00A51801" w:rsidRDefault="00A51801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A5180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C60C7" w14:textId="77777777" w:rsidR="009A0B20" w:rsidRDefault="009A0B20">
      <w:r>
        <w:separator/>
      </w:r>
    </w:p>
  </w:endnote>
  <w:endnote w:type="continuationSeparator" w:id="0">
    <w:p w14:paraId="7AD9119A" w14:textId="77777777" w:rsidR="009A0B20" w:rsidRDefault="009A0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2CDBA" w14:textId="77777777" w:rsidR="009A0B20" w:rsidRDefault="009A0B20">
      <w:r>
        <w:separator/>
      </w:r>
    </w:p>
  </w:footnote>
  <w:footnote w:type="continuationSeparator" w:id="0">
    <w:p w14:paraId="0B5B8A21" w14:textId="77777777" w:rsidR="009A0B20" w:rsidRDefault="009A0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801"/>
    <w:rsid w:val="008620EB"/>
    <w:rsid w:val="009A0B20"/>
    <w:rsid w:val="009E7C9A"/>
    <w:rsid w:val="00A5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59C35"/>
  <w15:docId w15:val="{4CC84CB3-C076-4A23-8172-0F68445F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pPr>
      <w:widowControl/>
      <w:suppressAutoHyphens w:val="0"/>
      <w:jc w:val="center"/>
    </w:pPr>
    <w:rPr>
      <w:rFonts w:ascii="Arial" w:eastAsia="Times New Roman" w:hAnsi="Arial" w:cs="Arial"/>
      <w:b/>
      <w:bCs/>
      <w:sz w:val="32"/>
      <w:lang w:eastAsia="cs-CZ" w:bidi="ar-SA"/>
    </w:rPr>
  </w:style>
  <w:style w:type="paragraph" w:styleId="Zkladntext">
    <w:name w:val="Body Text"/>
    <w:basedOn w:val="Normln"/>
    <w:link w:val="ZkladntextChar"/>
    <w:pPr>
      <w:spacing w:after="120"/>
    </w:pPr>
    <w:rPr>
      <w:kern w:val="1"/>
    </w:rPr>
  </w:style>
  <w:style w:type="paragraph" w:styleId="Textbubliny">
    <w:name w:val="Balloon Text"/>
    <w:basedOn w:val="Normln"/>
    <w:link w:val="TextbublinyChar"/>
    <w:semiHidden/>
    <w:rPr>
      <w:rFonts w:ascii="Segoe UI" w:hAnsi="Segoe UI"/>
      <w:sz w:val="18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semiHidden/>
    <w:rPr>
      <w:b/>
      <w:bCs/>
    </w:rPr>
  </w:style>
  <w:style w:type="paragraph" w:styleId="Textpoznpodarou">
    <w:name w:val="footnote text"/>
    <w:link w:val="TextpoznpodarouChar"/>
    <w:semiHidden/>
    <w:pPr>
      <w:spacing w:after="0" w:line="240" w:lineRule="auto"/>
    </w:pPr>
    <w:rPr>
      <w:sz w:val="20"/>
      <w:szCs w:val="20"/>
    </w:rPr>
  </w:style>
  <w:style w:type="paragraph" w:styleId="Textvysvtlivek">
    <w:name w:val="endnote text"/>
    <w:link w:val="TextvysvtlivekChar"/>
    <w:semiHidden/>
    <w:pPr>
      <w:spacing w:after="0" w:line="240" w:lineRule="auto"/>
    </w:pPr>
    <w:rPr>
      <w:sz w:val="20"/>
      <w:szCs w:val="20"/>
    </w:rPr>
  </w:style>
  <w:style w:type="character" w:styleId="slodku">
    <w:name w:val="line number"/>
    <w:basedOn w:val="Standardnpsmoodstavce"/>
    <w:semiHidden/>
  </w:style>
  <w:style w:type="character" w:styleId="Hypertextovodkaz">
    <w:name w:val="Hyperlink"/>
    <w:rPr>
      <w:color w:val="0000FF"/>
      <w:u w:val="single"/>
    </w:rPr>
  </w:style>
  <w:style w:type="character" w:customStyle="1" w:styleId="NzevChar">
    <w:name w:val="Název Char"/>
    <w:basedOn w:val="Standardnpsmoodstavce"/>
    <w:link w:val="Nzev"/>
    <w:rPr>
      <w:rFonts w:ascii="Arial" w:eastAsia="Times New Roman" w:hAnsi="Arial" w:cs="Arial"/>
      <w:b/>
      <w:bCs/>
      <w:sz w:val="32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xtbublinyChar">
    <w:name w:val="Text bubliny Char"/>
    <w:basedOn w:val="Standardnpsmoodstavce"/>
    <w:link w:val="Textbubliny"/>
    <w:semiHidden/>
    <w:rPr>
      <w:rFonts w:ascii="Segoe UI" w:eastAsia="SimSun" w:hAnsi="Segoe UI" w:cs="Mangal"/>
      <w:kern w:val="2"/>
      <w:sz w:val="18"/>
      <w:szCs w:val="16"/>
      <w:lang w:eastAsia="hi-IN" w:bidi="hi-IN"/>
    </w:r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rPr>
      <w:rFonts w:ascii="Times New Roman" w:eastAsia="SimSun" w:hAnsi="Times New Roman" w:cs="Mangal"/>
      <w:kern w:val="2"/>
      <w:sz w:val="20"/>
      <w:szCs w:val="18"/>
      <w:lang w:eastAsia="hi-IN" w:bidi="hi-IN"/>
    </w:rPr>
  </w:style>
  <w:style w:type="character" w:customStyle="1" w:styleId="PedmtkomenteChar">
    <w:name w:val="Předmět komentáře Char"/>
    <w:basedOn w:val="TextkomenteChar"/>
    <w:link w:val="Pedmtkomente"/>
    <w:semiHidden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character" w:styleId="Znakapoznpodarou">
    <w:name w:val="footnote reference"/>
    <w:semiHidden/>
    <w:rPr>
      <w:vertAlign w:val="superscript"/>
    </w:rPr>
  </w:style>
  <w:style w:type="character" w:customStyle="1" w:styleId="TextpoznpodarouChar">
    <w:name w:val="Text pozn. pod čarou Char"/>
    <w:link w:val="Textpoznpodarou"/>
    <w:semiHidden/>
    <w:rPr>
      <w:sz w:val="20"/>
      <w:szCs w:val="20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TextvysvtlivekChar">
    <w:name w:val="Text vysvětlivek Char"/>
    <w:link w:val="Textvysvtlivek"/>
    <w:semiHidden/>
    <w:rPr>
      <w:sz w:val="20"/>
      <w:szCs w:val="20"/>
    </w:rPr>
  </w:style>
  <w:style w:type="table" w:styleId="Jednoduchtabulka1">
    <w:name w:val="Table Simple 1"/>
    <w:basedOn w:val="Normlntabulk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3323b7-d62f-4d47-ba40-3ddd29c4b25d" xsi:nil="true"/>
    <lcf76f155ced4ddcb4097134ff3c332f xmlns="3236b86f-095e-4fa6-87b2-8a7269dddb0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E9B18D8EC364890B7E5ACA3C80234" ma:contentTypeVersion="18" ma:contentTypeDescription="Create a new document." ma:contentTypeScope="" ma:versionID="7e27dc8b2e1770a7e4b1b81f3a811aab">
  <xsd:schema xmlns:xsd="http://www.w3.org/2001/XMLSchema" xmlns:xs="http://www.w3.org/2001/XMLSchema" xmlns:p="http://schemas.microsoft.com/office/2006/metadata/properties" xmlns:ns2="543323b7-d62f-4d47-ba40-3ddd29c4b25d" xmlns:ns3="3236b86f-095e-4fa6-87b2-8a7269dddb00" targetNamespace="http://schemas.microsoft.com/office/2006/metadata/properties" ma:root="true" ma:fieldsID="c408d1d1de4c8ad2b1dd13fb0887c741" ns2:_="" ns3:_="">
    <xsd:import namespace="543323b7-d62f-4d47-ba40-3ddd29c4b25d"/>
    <xsd:import namespace="3236b86f-095e-4fa6-87b2-8a7269dddb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323b7-d62f-4d47-ba40-3ddd29c4b2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2543ed4-0686-4c92-85fc-27035fec10a4}" ma:internalName="TaxCatchAll" ma:showField="CatchAllData" ma:web="543323b7-d62f-4d47-ba40-3ddd29c4b2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6b86f-095e-4fa6-87b2-8a7269ddd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4458f4-b9b0-4ffa-b947-e9213be380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6D8B8-29F7-4F44-8D89-86806169D3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BAF699-E940-408D-BC2F-1647AB6DE6C0}">
  <ds:schemaRefs>
    <ds:schemaRef ds:uri="http://schemas.microsoft.com/office/2006/metadata/properties"/>
    <ds:schemaRef ds:uri="http://schemas.microsoft.com/office/infopath/2007/PartnerControls"/>
    <ds:schemaRef ds:uri="543323b7-d62f-4d47-ba40-3ddd29c4b25d"/>
    <ds:schemaRef ds:uri="3236b86f-095e-4fa6-87b2-8a7269dddb00"/>
  </ds:schemaRefs>
</ds:datastoreItem>
</file>

<file path=customXml/itemProps3.xml><?xml version="1.0" encoding="utf-8"?>
<ds:datastoreItem xmlns:ds="http://schemas.openxmlformats.org/officeDocument/2006/customXml" ds:itemID="{358DB827-DE8E-45E3-AC1E-F54031C7B1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8AA3D6-65D2-49D2-A15D-AE897294F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323b7-d62f-4d47-ba40-3ddd29c4b25d"/>
    <ds:schemaRef ds:uri="3236b86f-095e-4fa6-87b2-8a7269dddb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Němcová</dc:creator>
  <cp:lastModifiedBy>Romana Hoťková</cp:lastModifiedBy>
  <cp:revision>2</cp:revision>
  <dcterms:created xsi:type="dcterms:W3CDTF">2025-03-19T06:26:00Z</dcterms:created>
  <dcterms:modified xsi:type="dcterms:W3CDTF">2025-03-19T06:26:00Z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08bede-62ef-4e9c-8811-d36c1b1f7687_Enabled">
    <vt:lpwstr>True</vt:lpwstr>
  </property>
  <property fmtid="{D5CDD505-2E9C-101B-9397-08002B2CF9AE}" pid="3" name="MSIP_Label_bf08bede-62ef-4e9c-8811-d36c1b1f7687_SiteId">
    <vt:lpwstr>b26e564a-bd86-4cc5-9677-47dde4b23796</vt:lpwstr>
  </property>
  <property fmtid="{D5CDD505-2E9C-101B-9397-08002B2CF9AE}" pid="4" name="MSIP_Label_bf08bede-62ef-4e9c-8811-d36c1b1f7687_Owner">
    <vt:lpwstr>hejclova@ASEKOL.CZ</vt:lpwstr>
  </property>
  <property fmtid="{D5CDD505-2E9C-101B-9397-08002B2CF9AE}" pid="5" name="MSIP_Label_bf08bede-62ef-4e9c-8811-d36c1b1f7687_SetDate">
    <vt:lpwstr>2020-06-22T13:31:17.4849594Z</vt:lpwstr>
  </property>
  <property fmtid="{D5CDD505-2E9C-101B-9397-08002B2CF9AE}" pid="6" name="MSIP_Label_bf08bede-62ef-4e9c-8811-d36c1b1f7687_Name">
    <vt:lpwstr>Public</vt:lpwstr>
  </property>
  <property fmtid="{D5CDD505-2E9C-101B-9397-08002B2CF9AE}" pid="7" name="MSIP_Label_bf08bede-62ef-4e9c-8811-d36c1b1f7687_Application">
    <vt:lpwstr>Microsoft Azure Information Protection</vt:lpwstr>
  </property>
  <property fmtid="{D5CDD505-2E9C-101B-9397-08002B2CF9AE}" pid="8" name="MSIP_Label_bf08bede-62ef-4e9c-8811-d36c1b1f7687_ActionId">
    <vt:lpwstr>68dbd5fe-f653-4d78-816c-9827656b57af</vt:lpwstr>
  </property>
  <property fmtid="{D5CDD505-2E9C-101B-9397-08002B2CF9AE}" pid="9" name="MSIP_Label_bf08bede-62ef-4e9c-8811-d36c1b1f7687_Extended_MSFT_Method">
    <vt:lpwstr>Automatic</vt:lpwstr>
  </property>
  <property fmtid="{D5CDD505-2E9C-101B-9397-08002B2CF9AE}" pid="10" name="Sensitivity">
    <vt:lpwstr>Public</vt:lpwstr>
  </property>
  <property fmtid="{D5CDD505-2E9C-101B-9397-08002B2CF9AE}" pid="11" name="ContentTypeId">
    <vt:lpwstr>0x010100BF7E9B18D8EC364890B7E5ACA3C80234</vt:lpwstr>
  </property>
</Properties>
</file>